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340" w:lineRule="atLeast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蒲河校区留学生公寓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浴房、橱柜、家电等用品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340" w:lineRule="atLeast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采购安装项目招标文件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340" w:lineRule="atLeast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根据辽大党发[1999]28号文件精神，结合学院教学科研使用需求，为了保证工程质量和节约投资</w:t>
      </w:r>
      <w:r>
        <w:rPr>
          <w:rFonts w:hint="eastAsia" w:ascii="Times New Roman" w:hAnsi="Times New Roman" w:eastAsia="宋体"/>
          <w:sz w:val="28"/>
          <w:szCs w:val="28"/>
        </w:rPr>
        <w:t>，决定对蒲河校区留学生公寓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浴房、橱柜、家电等用品</w:t>
      </w:r>
      <w:r>
        <w:rPr>
          <w:rFonts w:hint="eastAsia" w:ascii="Times New Roman" w:hAnsi="Times New Roman" w:eastAsia="宋体"/>
          <w:sz w:val="28"/>
          <w:szCs w:val="28"/>
        </w:rPr>
        <w:t>采购安装项目</w:t>
      </w:r>
      <w:r>
        <w:rPr>
          <w:rFonts w:hint="eastAsia"/>
          <w:sz w:val="28"/>
          <w:szCs w:val="28"/>
        </w:rPr>
        <w:t>进行招标，具体内容如下：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  <w:rPrChange w:id="0" w:author="清溪清我心" w:date="2024-03-01T10:57:25Z">
            <w:rPr>
              <w:rFonts w:hint="eastAsia" w:eastAsia="黑体"/>
              <w:bCs/>
              <w:sz w:val="28"/>
              <w:lang w:eastAsia="zh-CN"/>
            </w:rPr>
          </w:rPrChange>
        </w:rPr>
        <w:t>项目</w:t>
      </w:r>
      <w:r>
        <w:rPr>
          <w:rFonts w:hint="eastAsia" w:eastAsia="黑体"/>
          <w:bCs/>
          <w:sz w:val="28"/>
        </w:rPr>
        <w:t>名称：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line="340" w:lineRule="atLeast"/>
        <w:ind w:firstLine="560" w:firstLineChars="200"/>
        <w:jc w:val="both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蒲河校区留学生公寓浴房、橱柜、家电等用品采购安装项目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项目</w:t>
      </w:r>
      <w:r>
        <w:rPr>
          <w:rFonts w:hint="eastAsia" w:eastAsia="黑体"/>
          <w:bCs/>
          <w:sz w:val="28"/>
        </w:rPr>
        <w:t>内容及</w:t>
      </w:r>
      <w:r>
        <w:rPr>
          <w:rFonts w:hint="eastAsia" w:eastAsia="黑体"/>
          <w:bCs/>
          <w:sz w:val="28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left="551"/>
        <w:rPr>
          <w:rFonts w:hint="eastAsia"/>
          <w:sz w:val="28"/>
        </w:rPr>
      </w:pPr>
      <w:r>
        <w:rPr>
          <w:rFonts w:hint="eastAsia"/>
          <w:sz w:val="28"/>
        </w:rPr>
        <w:t>1、计划</w:t>
      </w:r>
      <w:r>
        <w:rPr>
          <w:rFonts w:hint="eastAsia"/>
          <w:sz w:val="28"/>
          <w:lang w:val="en-US" w:eastAsia="zh-CN"/>
        </w:rPr>
        <w:t>采购安装期限15</w:t>
      </w:r>
      <w:r>
        <w:rPr>
          <w:rFonts w:hint="eastAsia"/>
          <w:sz w:val="28"/>
        </w:rPr>
        <w:t>天，具体日期以</w:t>
      </w:r>
      <w:r>
        <w:rPr>
          <w:rFonts w:hint="eastAsia"/>
          <w:sz w:val="28"/>
          <w:lang w:eastAsia="zh-CN"/>
        </w:rPr>
        <w:t>采购</w:t>
      </w:r>
      <w:r>
        <w:rPr>
          <w:rFonts w:hint="eastAsia"/>
          <w:sz w:val="28"/>
        </w:rPr>
        <w:t xml:space="preserve">方指定日期为准；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</w:t>
      </w:r>
      <w:r>
        <w:rPr>
          <w:rFonts w:hint="eastAsia"/>
          <w:b/>
          <w:sz w:val="28"/>
        </w:rPr>
        <w:t>投标报价要求：投标报价时，部分项目不注明报价，视为包含在其他项；注明综合单价和合价，最后汇总出总价；本</w:t>
      </w:r>
      <w:r>
        <w:rPr>
          <w:rFonts w:hint="eastAsia"/>
          <w:b/>
          <w:sz w:val="28"/>
          <w:lang w:eastAsia="zh-CN"/>
        </w:rPr>
        <w:t>项目</w:t>
      </w:r>
      <w:r>
        <w:rPr>
          <w:rFonts w:hint="eastAsia"/>
          <w:b/>
          <w:sz w:val="28"/>
        </w:rPr>
        <w:t>要严格按照</w:t>
      </w:r>
      <w:r>
        <w:rPr>
          <w:rFonts w:hint="eastAsia"/>
          <w:b/>
          <w:sz w:val="28"/>
          <w:lang w:val="en-US" w:eastAsia="zh-CN"/>
        </w:rPr>
        <w:t>采购</w:t>
      </w:r>
      <w:r>
        <w:rPr>
          <w:rFonts w:hint="eastAsia"/>
          <w:b/>
          <w:sz w:val="28"/>
        </w:rPr>
        <w:t>清单</w:t>
      </w:r>
      <w:r>
        <w:rPr>
          <w:rFonts w:hint="eastAsia"/>
          <w:b/>
          <w:sz w:val="28"/>
          <w:lang w:eastAsia="zh-CN"/>
        </w:rPr>
        <w:t>进行</w:t>
      </w:r>
      <w:r>
        <w:rPr>
          <w:rFonts w:hint="eastAsia"/>
          <w:b/>
          <w:sz w:val="28"/>
        </w:rPr>
        <w:t>报价，否则视为弃标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420" w:firstLineChars="150"/>
        <w:rPr>
          <w:rFonts w:hint="eastAsia"/>
          <w:sz w:val="28"/>
        </w:rPr>
      </w:pPr>
      <w:r>
        <w:rPr>
          <w:rFonts w:hint="eastAsia"/>
          <w:sz w:val="28"/>
        </w:rPr>
        <w:t>（一）</w:t>
      </w:r>
      <w:r>
        <w:rPr>
          <w:rFonts w:hint="eastAsia"/>
          <w:sz w:val="28"/>
          <w:lang w:val="en-US" w:eastAsia="zh-CN"/>
        </w:rPr>
        <w:t>采购</w:t>
      </w:r>
      <w:r>
        <w:rPr>
          <w:rFonts w:hint="eastAsia"/>
          <w:sz w:val="28"/>
        </w:rPr>
        <w:t>清单：</w:t>
      </w:r>
    </w:p>
    <w:tbl>
      <w:tblPr>
        <w:tblStyle w:val="16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749"/>
        <w:gridCol w:w="771"/>
        <w:gridCol w:w="945"/>
        <w:gridCol w:w="1033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玻璃浴房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（800*1000*2150mm、含送货安装、连接电源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，品牌档次：五阆、心海迦蓝、箭牌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left"/>
              <w:outlineLvl w:val="9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立式热水器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（150L、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含送货安装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，品牌档次：海尔、斯密斯、方太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left"/>
              <w:outlineLvl w:val="9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单口残食柜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（980*635*800+100mm、201板材、台面1.0MM、带中层、前敞开门、带欧式立背、送货安装）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白钢操作台柜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（5000*635*800+100mm、201板材、台面1.2mm、带中层、前敞开门、带欧式立背、送货安装）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白钢操作台柜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（1990*635*800+100mm、201板材、台面1.2mm、带中层、前敞开门 带欧式立背、送货安装）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不锈钢挂墙吊柜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（5000*300*700mm、1板材、台面1.0mm 带中层、前敞开门、带欧式立背）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电磁炉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（镶嵌式、触摸屏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，品牌档次：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万想、苏泊尔 先科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不锈钢排烟罩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（3000*635mm、三台风机、单独控制、板材1.0mm、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连接电源、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送货安装）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窗台不锈钢包边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（送货安装、联众201板材 1.0mm）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微波炉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（220V、 0.7KW、 20L、送货安装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品牌档次：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格兰仕、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美的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威猛达）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开水器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（220V、 3KW、40L、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连接电源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、送货安装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品牌档次：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威猛达、志高、三鼎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滚桶式洗衣机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（洗脱一体机、双喷淋、变频电机、功率220V 2.7KW、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连接电源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、送货安装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，品牌档次：海尔、西门子、松下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厨房棚顶灯具（LED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600*600mm、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连接电源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、送货安装）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普通纱窗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default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default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打扫卫生及去渍保洁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both"/>
              <w:outlineLvl w:val="9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其他费用（税费、拆除、搬运、运输、措施，及完成清单内项目的其他费用）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atLeast"/>
              <w:jc w:val="center"/>
              <w:outlineLvl w:val="9"/>
              <w:rPr>
                <w:rFonts w:ascii="Times New Roman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420" w:firstLineChars="1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（二）措施项目清单：按照供货清单自行编写报价，如不编写报价，视为包含以上价格中。（注：详见采购清单表，清单内所有主材必须为国标产品并注明主材品牌）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质量要求及验收标准：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达到合格工程标准,并严格按照</w:t>
      </w:r>
      <w:r>
        <w:rPr>
          <w:rFonts w:hint="eastAsia"/>
          <w:sz w:val="28"/>
          <w:lang w:val="en-US" w:eastAsia="zh-CN"/>
        </w:rPr>
        <w:t>相关国家标准规范验收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四、投标要求：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1、报价：按照建设单位提供的采购清单编制详细的供货预算报价，请密封后送达。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left="420" w:leftChars="200" w:firstLine="140" w:firstLineChars="50"/>
        <w:rPr>
          <w:rFonts w:hint="eastAsia"/>
          <w:sz w:val="28"/>
        </w:rPr>
      </w:pPr>
      <w:r>
        <w:rPr>
          <w:rFonts w:hint="eastAsia"/>
          <w:sz w:val="28"/>
        </w:rPr>
        <w:t>2、投标文件：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（1）企业营业执照复印件并加盖公章；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（2）如资质顺延，需提供有关部门发布的通知并加盖公司公章，并顺延日期在文件顺延日期范围内，否则视为不合格处理</w:t>
      </w:r>
      <w:r>
        <w:rPr>
          <w:rFonts w:hint="eastAsia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（3）安全生产许可证复印件并加盖公章；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（4）</w:t>
      </w:r>
      <w:r>
        <w:rPr>
          <w:rFonts w:hint="eastAsia"/>
          <w:sz w:val="28"/>
          <w:lang w:val="en-US" w:eastAsia="zh-CN"/>
        </w:rPr>
        <w:t>自2021年以来，</w:t>
      </w:r>
      <w:r>
        <w:rPr>
          <w:rFonts w:hint="eastAsia"/>
          <w:sz w:val="28"/>
        </w:rPr>
        <w:t>公司近三年同类工程业绩，实例至少三项；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（5）法人委托授权书复印件并加盖公章。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（6）此采购项目</w:t>
      </w:r>
      <w:r>
        <w:rPr>
          <w:rFonts w:hint="eastAsia"/>
          <w:sz w:val="28"/>
          <w:lang w:val="en-US" w:eastAsia="zh-CN"/>
        </w:rPr>
        <w:t>最高限价</w:t>
      </w:r>
      <w:r>
        <w:rPr>
          <w:rFonts w:hint="eastAsia"/>
          <w:sz w:val="28"/>
        </w:rPr>
        <w:t>为</w:t>
      </w:r>
      <w:r>
        <w:rPr>
          <w:rFonts w:hint="eastAsia"/>
          <w:sz w:val="28"/>
          <w:lang w:val="en-US" w:eastAsia="zh-CN"/>
        </w:rPr>
        <w:t>7.3</w:t>
      </w:r>
      <w:r>
        <w:rPr>
          <w:rFonts w:hint="eastAsia"/>
          <w:sz w:val="28"/>
        </w:rPr>
        <w:t>万元，超过此价视为废标。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37" w:firstLineChars="192"/>
        <w:rPr>
          <w:rFonts w:hint="eastAsia"/>
          <w:sz w:val="28"/>
        </w:rPr>
      </w:pPr>
      <w:r>
        <w:rPr>
          <w:rFonts w:hint="eastAsia"/>
          <w:sz w:val="28"/>
        </w:rPr>
        <w:t>3、</w:t>
      </w:r>
      <w:r>
        <w:rPr>
          <w:rFonts w:hint="eastAsia"/>
          <w:color w:val="000000"/>
          <w:sz w:val="28"/>
        </w:rPr>
        <w:t>上述报价单及投标文件一式三份密封，各投标单位必须在20</w:t>
      </w: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月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日上午</w:t>
      </w:r>
      <w:r>
        <w:rPr>
          <w:color w:val="000000"/>
          <w:sz w:val="28"/>
        </w:rPr>
        <w:t>1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lang w:val="en-US" w:eastAsia="zh-CN"/>
        </w:rPr>
        <w:t>00前</w:t>
      </w:r>
      <w:r>
        <w:rPr>
          <w:rFonts w:hint="eastAsia"/>
          <w:color w:val="000000"/>
          <w:sz w:val="28"/>
        </w:rPr>
        <w:t>将密封投标文件送至</w:t>
      </w:r>
      <w:r>
        <w:rPr>
          <w:rFonts w:hint="eastAsia"/>
          <w:color w:val="000000"/>
          <w:sz w:val="28"/>
          <w:lang w:val="en-US" w:eastAsia="zh-CN"/>
        </w:rPr>
        <w:t>辽宁大学蒲河校区校部办公楼一楼办公大厅后勤工作处工位</w:t>
      </w:r>
      <w:r>
        <w:rPr>
          <w:rFonts w:hint="eastAsia"/>
          <w:color w:val="000000"/>
          <w:sz w:val="28"/>
        </w:rPr>
        <w:t>，联系人：</w:t>
      </w:r>
      <w:r>
        <w:rPr>
          <w:rFonts w:hint="eastAsia"/>
          <w:color w:val="000000"/>
          <w:sz w:val="28"/>
          <w:lang w:val="en-US" w:eastAsia="zh-CN"/>
        </w:rPr>
        <w:t>陈</w:t>
      </w:r>
      <w:r>
        <w:rPr>
          <w:rFonts w:hint="eastAsia"/>
          <w:color w:val="000000"/>
          <w:sz w:val="28"/>
        </w:rPr>
        <w:t>老师，电话：</w:t>
      </w:r>
      <w:r>
        <w:rPr>
          <w:rFonts w:hint="eastAsia"/>
          <w:color w:val="000000"/>
          <w:sz w:val="28"/>
          <w:lang w:val="en-US" w:eastAsia="zh-CN"/>
        </w:rPr>
        <w:t>62602299</w:t>
      </w:r>
      <w:r>
        <w:rPr>
          <w:rFonts w:hint="eastAsia"/>
          <w:color w:val="000000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37" w:firstLineChars="192"/>
        <w:rPr>
          <w:rFonts w:hint="eastAsia"/>
          <w:sz w:val="28"/>
        </w:rPr>
      </w:pPr>
      <w:r>
        <w:rPr>
          <w:rFonts w:hint="eastAsia"/>
          <w:sz w:val="28"/>
        </w:rPr>
        <w:t>4、上述投标文件原件经确认与复印件一致后原件退回，其余资料一律不退回。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五、付款方式：</w:t>
      </w:r>
    </w:p>
    <w:p>
      <w:pPr>
        <w:pStyle w:val="1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602"/>
        <w:rPr>
          <w:rFonts w:hint="eastAsia" w:ascii="宋体" w:hAnsi="宋体"/>
          <w:sz w:val="28"/>
          <w:szCs w:val="28"/>
          <w:lang w:val="zh-TW" w:eastAsia="zh-TW"/>
        </w:rPr>
      </w:pPr>
      <w:r>
        <w:rPr>
          <w:rFonts w:hint="eastAsia" w:ascii="宋体" w:hAnsi="宋体"/>
          <w:sz w:val="28"/>
          <w:szCs w:val="28"/>
          <w:lang w:val="zh-TW" w:eastAsia="zh-TW"/>
        </w:rPr>
        <w:t>合同签定后</w:t>
      </w:r>
      <w:r>
        <w:rPr>
          <w:rFonts w:hint="eastAsia" w:ascii="宋体" w:hAnsi="宋体"/>
          <w:sz w:val="28"/>
          <w:szCs w:val="28"/>
          <w:lang w:val="zh-TW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货到安装调试使用正常，</w:t>
      </w:r>
      <w:r>
        <w:rPr>
          <w:rFonts w:hint="eastAsia" w:ascii="宋体" w:hAnsi="宋体"/>
          <w:sz w:val="28"/>
          <w:szCs w:val="28"/>
          <w:lang w:val="zh-TW" w:eastAsia="zh-TW"/>
        </w:rPr>
        <w:t>验收合格并由发包人出具书面验收合格文件后支付合同额的</w:t>
      </w:r>
      <w:r>
        <w:rPr>
          <w:rFonts w:hint="eastAsia" w:ascii="宋体" w:hAnsi="宋体"/>
          <w:sz w:val="28"/>
          <w:szCs w:val="28"/>
          <w:lang w:val="en-US" w:eastAsia="zh-CN"/>
        </w:rPr>
        <w:t>100</w:t>
      </w:r>
      <w:r>
        <w:rPr>
          <w:rFonts w:hint="eastAsia" w:ascii="宋体" w:hAnsi="宋体"/>
          <w:sz w:val="28"/>
          <w:szCs w:val="28"/>
          <w:lang w:val="zh-TW" w:eastAsia="zh-TW"/>
        </w:rPr>
        <w:t>%</w:t>
      </w:r>
      <w:r>
        <w:rPr>
          <w:rFonts w:hint="eastAsia" w:ascii="宋体" w:hAnsi="宋体"/>
          <w:sz w:val="28"/>
          <w:szCs w:val="28"/>
          <w:lang w:val="zh-TW" w:eastAsia="zh-CN"/>
        </w:rPr>
        <w:t>，</w:t>
      </w:r>
      <w:r>
        <w:rPr>
          <w:rFonts w:hint="eastAsia" w:ascii="宋体" w:hAnsi="宋体"/>
          <w:sz w:val="28"/>
          <w:szCs w:val="28"/>
          <w:lang w:val="zh-TW" w:eastAsia="zh-TW"/>
        </w:rPr>
        <w:t>质保期</w:t>
      </w:r>
      <w:r>
        <w:rPr>
          <w:rFonts w:hint="eastAsia" w:ascii="宋体" w:hAnsi="宋体"/>
          <w:sz w:val="28"/>
          <w:szCs w:val="28"/>
          <w:lang w:val="en-US" w:eastAsia="zh-CN"/>
        </w:rPr>
        <w:t>2年（家电部分按厂家承诺质保时间）</w:t>
      </w:r>
      <w:r>
        <w:rPr>
          <w:rFonts w:hint="eastAsia" w:ascii="宋体" w:hAnsi="宋体"/>
          <w:sz w:val="28"/>
          <w:szCs w:val="28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六、中标处理</w:t>
      </w:r>
      <w:r>
        <w:rPr>
          <w:rFonts w:hint="eastAsia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投标单位接到中标通知后与辽宁大学签订合同，否则按废标处理。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七、其它。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1.整个项目实施过程中注重成品保护，如由于施工过程中造成原有设施损坏，中标单位无条件修复或赔偿。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" w:firstLineChars="200"/>
        <w:rPr>
          <w:rFonts w:hint="eastAsia" w:ascii="Times New Roman" w:hAnsi="Times New Roman" w:eastAsia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 w:ascii="隶书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rPr>
          <w:rFonts w:hint="eastAsia"/>
          <w:sz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firstLine="5600" w:firstLineChars="2000"/>
        <w:rPr>
          <w:rFonts w:hint="eastAsia"/>
          <w:sz w:val="28"/>
        </w:rPr>
      </w:pPr>
      <w:r>
        <w:rPr>
          <w:rFonts w:hint="eastAsia"/>
          <w:sz w:val="28"/>
        </w:rPr>
        <w:t>辽宁大学后勤工作处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40" w:lineRule="atLeast"/>
        <w:ind w:left="99" w:leftChars="47" w:firstLine="5600" w:firstLineChars="2000"/>
        <w:rPr>
          <w:rFonts w:hint="eastAsia"/>
        </w:rPr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68D4"/>
    <w:multiLevelType w:val="multilevel"/>
    <w:tmpl w:val="7C8268D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391"/>
        </w:tabs>
        <w:ind w:left="139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1"/>
        </w:tabs>
        <w:ind w:left="1811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1"/>
        </w:tabs>
        <w:ind w:left="223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1"/>
        </w:tabs>
        <w:ind w:left="265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1"/>
        </w:tabs>
        <w:ind w:left="3071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1"/>
        </w:tabs>
        <w:ind w:left="349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1"/>
        </w:tabs>
        <w:ind w:left="391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1"/>
        </w:tabs>
        <w:ind w:left="4331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清溪清我心">
    <w15:presenceInfo w15:providerId="WPS Office" w15:userId="195646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DEzMTc4YjBjNmJmODlkNTJkNDU5ZGViOTYxNmMifQ=="/>
  </w:docVars>
  <w:rsids>
    <w:rsidRoot w:val="00000000"/>
    <w:rsid w:val="035964AE"/>
    <w:rsid w:val="03903993"/>
    <w:rsid w:val="0BE5268E"/>
    <w:rsid w:val="0EEC315A"/>
    <w:rsid w:val="15597F0E"/>
    <w:rsid w:val="19A90B8D"/>
    <w:rsid w:val="28C87C18"/>
    <w:rsid w:val="293712A2"/>
    <w:rsid w:val="2C1945BB"/>
    <w:rsid w:val="2E31285C"/>
    <w:rsid w:val="2E791CCC"/>
    <w:rsid w:val="34B52387"/>
    <w:rsid w:val="446255E9"/>
    <w:rsid w:val="48665EA1"/>
    <w:rsid w:val="4B9B5F74"/>
    <w:rsid w:val="56F9366D"/>
    <w:rsid w:val="794C22A5"/>
    <w:rsid w:val="7A645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正文文本1"/>
    <w:basedOn w:val="1"/>
    <w:link w:val="8"/>
    <w:autoRedefine/>
    <w:qFormat/>
    <w:uiPriority w:val="0"/>
    <w:pPr>
      <w:spacing w:after="120"/>
    </w:pPr>
  </w:style>
  <w:style w:type="character" w:customStyle="1" w:styleId="8">
    <w:name w:val="正文文本 Char"/>
    <w:link w:val="7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9">
    <w:name w:val="日期1"/>
    <w:basedOn w:val="1"/>
    <w:autoRedefine/>
    <w:qFormat/>
    <w:uiPriority w:val="0"/>
    <w:pPr>
      <w:ind w:left="100" w:leftChars="2500"/>
    </w:pPr>
    <w:rPr>
      <w:sz w:val="28"/>
    </w:rPr>
  </w:style>
  <w:style w:type="paragraph" w:customStyle="1" w:styleId="10">
    <w:name w:val="批注框文本1"/>
    <w:basedOn w:val="1"/>
    <w:link w:val="11"/>
    <w:autoRedefine/>
    <w:qFormat/>
    <w:uiPriority w:val="0"/>
    <w:rPr>
      <w:sz w:val="18"/>
      <w:szCs w:val="18"/>
    </w:rPr>
  </w:style>
  <w:style w:type="character" w:customStyle="1" w:styleId="11">
    <w:name w:val="批注框文本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link w:val="12"/>
    <w:autoRedefine/>
    <w:qFormat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5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4"/>
    <w:autoRedefine/>
    <w:qFormat/>
    <w:uiPriority w:val="0"/>
    <w:rPr>
      <w:kern w:val="2"/>
      <w:sz w:val="18"/>
      <w:szCs w:val="18"/>
    </w:rPr>
  </w:style>
  <w:style w:type="table" w:customStyle="1" w:styleId="16">
    <w:name w:val="网格型1"/>
    <w:basedOn w:val="6"/>
    <w:autoRedefine/>
    <w:qFormat/>
    <w:uiPriority w:val="0"/>
    <w:pPr>
      <w:widowControl w:val="0"/>
      <w:jc w:val="both"/>
    </w:pPr>
  </w:style>
  <w:style w:type="paragraph" w:customStyle="1" w:styleId="17">
    <w:name w:val="正文 A"/>
    <w:autoRedefine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2024-02-26T06:22:00Z</dcterms:created>
  <dc:creator>清溪清我心</dc:creator>
  <cp:lastModifiedBy>清溪清我心</cp:lastModifiedBy>
  <dcterms:modified xsi:type="dcterms:W3CDTF">2024-03-01T02:58:12Z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5F15463A37454A9DB49D64D1711E913C_13</vt:lpwstr>
  </property>
</Properties>
</file>